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90F4C">
      <w:pPr>
        <w:autoSpaceDE w:val="0"/>
        <w:autoSpaceDN w:val="0"/>
        <w:adjustRightInd w:val="0"/>
        <w:spacing w:line="500" w:lineRule="exact"/>
        <w:jc w:val="center"/>
        <w:rPr>
          <w:rFonts w:ascii="黑体" w:eastAsia="黑体"/>
          <w:kern w:val="0"/>
          <w:sz w:val="40"/>
        </w:rPr>
      </w:pPr>
      <w:r>
        <w:rPr>
          <w:rFonts w:hint="eastAsia" w:ascii="黑体" w:eastAsia="黑体"/>
          <w:kern w:val="0"/>
          <w:sz w:val="40"/>
        </w:rPr>
        <w:t>梅州市嘉应粮食交易中心有限公司</w:t>
      </w:r>
    </w:p>
    <w:p w14:paraId="367E8645">
      <w:pPr>
        <w:autoSpaceDE w:val="0"/>
        <w:autoSpaceDN w:val="0"/>
        <w:adjustRightInd w:val="0"/>
        <w:spacing w:line="500" w:lineRule="exact"/>
        <w:jc w:val="center"/>
        <w:rPr>
          <w:rFonts w:ascii="黑体" w:eastAsia="黑体"/>
          <w:kern w:val="0"/>
          <w:sz w:val="40"/>
        </w:rPr>
      </w:pPr>
      <w:r>
        <w:rPr>
          <w:rFonts w:hint="eastAsia" w:ascii="黑体" w:eastAsia="黑体"/>
          <w:kern w:val="0"/>
          <w:sz w:val="40"/>
        </w:rPr>
        <w:t>竞价销售交易合同</w:t>
      </w:r>
    </w:p>
    <w:p w14:paraId="70207C5C">
      <w:pPr>
        <w:autoSpaceDE w:val="0"/>
        <w:autoSpaceDN w:val="0"/>
        <w:adjustRightInd w:val="0"/>
        <w:spacing w:line="500" w:lineRule="exact"/>
        <w:rPr>
          <w:rFonts w:hint="eastAsia" w:ascii="宋体" w:hAnsi="宋体"/>
          <w:color w:val="FF0000"/>
          <w:kern w:val="0"/>
          <w:sz w:val="28"/>
          <w:szCs w:val="28"/>
        </w:rPr>
      </w:pPr>
      <w:r>
        <w:rPr>
          <w:rFonts w:hint="eastAsia" w:ascii="宋体" w:hAnsi="宋体"/>
          <w:kern w:val="0"/>
          <w:sz w:val="28"/>
          <w:szCs w:val="28"/>
        </w:rPr>
        <w:t>合同编号：</w:t>
      </w:r>
    </w:p>
    <w:p w14:paraId="208FAD66">
      <w:pPr>
        <w:autoSpaceDE w:val="0"/>
        <w:autoSpaceDN w:val="0"/>
        <w:adjustRightInd w:val="0"/>
        <w:spacing w:line="500" w:lineRule="exact"/>
        <w:rPr>
          <w:rFonts w:hint="eastAsia" w:ascii="宋体" w:hAnsi="宋体"/>
          <w:kern w:val="0"/>
          <w:sz w:val="28"/>
          <w:szCs w:val="28"/>
        </w:rPr>
      </w:pPr>
      <w:r>
        <w:rPr>
          <w:rFonts w:hint="eastAsia" w:ascii="宋体" w:hAnsi="宋体"/>
          <w:kern w:val="0"/>
          <w:sz w:val="28"/>
          <w:szCs w:val="28"/>
        </w:rPr>
        <w:t>买方全称：</w:t>
      </w:r>
    </w:p>
    <w:p w14:paraId="5FACCE65">
      <w:pPr>
        <w:pStyle w:val="6"/>
        <w:autoSpaceDE w:val="0"/>
        <w:autoSpaceDN w:val="0"/>
        <w:adjustRightInd w:val="0"/>
        <w:spacing w:line="500" w:lineRule="exact"/>
        <w:rPr>
          <w:rFonts w:hint="eastAsia" w:ascii="宋体" w:hAnsi="宋体"/>
          <w:kern w:val="0"/>
          <w:sz w:val="28"/>
          <w:szCs w:val="28"/>
        </w:rPr>
      </w:pPr>
      <w:r>
        <w:rPr>
          <w:rFonts w:hint="eastAsia" w:ascii="宋体" w:hAnsi="宋体"/>
          <w:kern w:val="0"/>
          <w:sz w:val="28"/>
          <w:szCs w:val="28"/>
        </w:rPr>
        <w:t>卖方全称：梅州市嘉泰粮食和物资储备有限公司</w:t>
      </w:r>
    </w:p>
    <w:p w14:paraId="1E7E99DB">
      <w:pPr>
        <w:autoSpaceDE w:val="0"/>
        <w:autoSpaceDN w:val="0"/>
        <w:adjustRightInd w:val="0"/>
        <w:spacing w:line="460" w:lineRule="exact"/>
        <w:rPr>
          <w:rFonts w:hint="eastAsia" w:ascii="宋体" w:hAnsi="宋体"/>
          <w:kern w:val="0"/>
          <w:sz w:val="28"/>
          <w:szCs w:val="28"/>
        </w:rPr>
      </w:pPr>
      <w:r>
        <w:rPr>
          <w:rFonts w:hint="eastAsia" w:ascii="宋体" w:hAnsi="宋体"/>
          <w:kern w:val="0"/>
          <w:sz w:val="28"/>
          <w:szCs w:val="28"/>
        </w:rPr>
        <w:t xml:space="preserve">一、成交标的（见下表）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7"/>
        <w:gridCol w:w="2616"/>
        <w:gridCol w:w="817"/>
        <w:gridCol w:w="3130"/>
        <w:gridCol w:w="15"/>
      </w:tblGrid>
      <w:tr w14:paraId="2963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05" w:type="dxa"/>
            <w:gridSpan w:val="2"/>
          </w:tcPr>
          <w:p w14:paraId="2CCF47F0">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标的号</w:t>
            </w:r>
          </w:p>
        </w:tc>
        <w:tc>
          <w:tcPr>
            <w:tcW w:w="2616" w:type="dxa"/>
          </w:tcPr>
          <w:p w14:paraId="293F4B6A">
            <w:pPr>
              <w:pStyle w:val="2"/>
              <w:spacing w:line="460" w:lineRule="exact"/>
              <w:ind w:firstLine="0" w:firstLineChars="0"/>
              <w:jc w:val="center"/>
              <w:rPr>
                <w:rFonts w:hint="eastAsia" w:ascii="宋体" w:hAnsi="宋体" w:eastAsia="宋体"/>
                <w:sz w:val="24"/>
              </w:rPr>
            </w:pPr>
          </w:p>
        </w:tc>
        <w:tc>
          <w:tcPr>
            <w:tcW w:w="817" w:type="dxa"/>
          </w:tcPr>
          <w:p w14:paraId="357DA3C5">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数量</w:t>
            </w:r>
          </w:p>
        </w:tc>
        <w:tc>
          <w:tcPr>
            <w:tcW w:w="3145" w:type="dxa"/>
            <w:gridSpan w:val="2"/>
          </w:tcPr>
          <w:p w14:paraId="085BD80B">
            <w:pPr>
              <w:pStyle w:val="2"/>
              <w:spacing w:line="460" w:lineRule="exact"/>
              <w:ind w:firstLine="1120" w:firstLineChars="400"/>
              <w:rPr>
                <w:rFonts w:hint="eastAsia" w:ascii="宋体" w:hAnsi="宋体" w:eastAsia="宋体"/>
                <w:sz w:val="24"/>
              </w:rPr>
            </w:pPr>
            <w:r>
              <w:rPr>
                <w:rFonts w:hint="eastAsia" w:ascii="宋体" w:hAnsi="宋体"/>
                <w:szCs w:val="28"/>
              </w:rPr>
              <w:t>XXX吨</w:t>
            </w:r>
          </w:p>
        </w:tc>
      </w:tr>
      <w:tr w14:paraId="2E6F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05" w:type="dxa"/>
            <w:gridSpan w:val="2"/>
          </w:tcPr>
          <w:p w14:paraId="7B513B66">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品种</w:t>
            </w:r>
          </w:p>
        </w:tc>
        <w:tc>
          <w:tcPr>
            <w:tcW w:w="2616" w:type="dxa"/>
          </w:tcPr>
          <w:p w14:paraId="685C7779">
            <w:pPr>
              <w:pStyle w:val="2"/>
              <w:spacing w:line="460" w:lineRule="exact"/>
              <w:ind w:firstLine="0" w:firstLineChars="0"/>
              <w:jc w:val="center"/>
              <w:rPr>
                <w:rFonts w:hint="eastAsia" w:ascii="宋体" w:hAnsi="宋体" w:eastAsia="宋体"/>
                <w:sz w:val="24"/>
                <w:lang w:eastAsia="zh-CN"/>
              </w:rPr>
            </w:pPr>
            <w:r>
              <w:rPr>
                <w:rFonts w:hint="eastAsia" w:ascii="宋体" w:hAnsi="宋体" w:eastAsia="宋体"/>
                <w:sz w:val="24"/>
              </w:rPr>
              <w:t>早籼稻谷</w:t>
            </w:r>
            <w:r>
              <w:rPr>
                <w:rFonts w:hint="eastAsia" w:ascii="宋体" w:hAnsi="宋体" w:eastAsia="宋体"/>
                <w:sz w:val="24"/>
                <w:lang w:eastAsia="zh-CN"/>
              </w:rPr>
              <w:t>（</w:t>
            </w:r>
            <w:r>
              <w:rPr>
                <w:rFonts w:hint="eastAsia" w:ascii="宋体" w:hAnsi="宋体" w:eastAsia="宋体"/>
                <w:sz w:val="24"/>
                <w:lang w:val="en-US" w:eastAsia="zh-CN"/>
              </w:rPr>
              <w:t>圆身短粒型</w:t>
            </w:r>
            <w:r>
              <w:rPr>
                <w:rFonts w:hint="eastAsia" w:ascii="宋体" w:hAnsi="宋体" w:eastAsia="宋体"/>
                <w:sz w:val="24"/>
                <w:lang w:eastAsia="zh-CN"/>
              </w:rPr>
              <w:t>）</w:t>
            </w:r>
          </w:p>
        </w:tc>
        <w:tc>
          <w:tcPr>
            <w:tcW w:w="817" w:type="dxa"/>
          </w:tcPr>
          <w:p w14:paraId="3487F56E">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等级</w:t>
            </w:r>
          </w:p>
        </w:tc>
        <w:tc>
          <w:tcPr>
            <w:tcW w:w="3145" w:type="dxa"/>
            <w:gridSpan w:val="2"/>
          </w:tcPr>
          <w:p w14:paraId="5180AD3E">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三级</w:t>
            </w:r>
          </w:p>
        </w:tc>
      </w:tr>
      <w:tr w14:paraId="5037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505" w:type="dxa"/>
            <w:gridSpan w:val="2"/>
          </w:tcPr>
          <w:p w14:paraId="53624467">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lang w:val="en-US" w:eastAsia="zh-CN"/>
              </w:rPr>
              <w:t>生产</w:t>
            </w:r>
            <w:r>
              <w:rPr>
                <w:rFonts w:hint="eastAsia" w:ascii="宋体" w:hAnsi="宋体" w:eastAsia="宋体"/>
                <w:b/>
                <w:bCs/>
                <w:sz w:val="24"/>
              </w:rPr>
              <w:t>年度</w:t>
            </w:r>
          </w:p>
        </w:tc>
        <w:tc>
          <w:tcPr>
            <w:tcW w:w="2616" w:type="dxa"/>
          </w:tcPr>
          <w:p w14:paraId="35066D98">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202</w:t>
            </w:r>
            <w:r>
              <w:rPr>
                <w:rFonts w:hint="eastAsia" w:ascii="宋体" w:hAnsi="宋体" w:eastAsia="宋体"/>
                <w:sz w:val="24"/>
                <w:lang w:val="en-US" w:eastAsia="zh-CN"/>
              </w:rPr>
              <w:t>3</w:t>
            </w:r>
            <w:r>
              <w:rPr>
                <w:rFonts w:hint="eastAsia" w:ascii="宋体" w:hAnsi="宋体" w:eastAsia="宋体"/>
                <w:sz w:val="24"/>
              </w:rPr>
              <w:t>年</w:t>
            </w:r>
          </w:p>
        </w:tc>
        <w:tc>
          <w:tcPr>
            <w:tcW w:w="817" w:type="dxa"/>
          </w:tcPr>
          <w:p w14:paraId="4E86A3ED">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单价</w:t>
            </w:r>
          </w:p>
        </w:tc>
        <w:tc>
          <w:tcPr>
            <w:tcW w:w="3145" w:type="dxa"/>
            <w:gridSpan w:val="2"/>
          </w:tcPr>
          <w:p w14:paraId="74E65832">
            <w:pPr>
              <w:pStyle w:val="2"/>
              <w:spacing w:line="460" w:lineRule="exact"/>
              <w:ind w:firstLine="240" w:firstLineChars="100"/>
              <w:jc w:val="center"/>
              <w:rPr>
                <w:rFonts w:hint="eastAsia" w:ascii="宋体" w:hAnsi="宋体" w:eastAsia="宋体"/>
                <w:sz w:val="24"/>
              </w:rPr>
            </w:pPr>
            <w:r>
              <w:rPr>
                <w:rFonts w:hint="eastAsia" w:ascii="宋体" w:hAnsi="宋体" w:eastAsia="宋体"/>
                <w:sz w:val="24"/>
              </w:rPr>
              <w:t>XXX元/吨</w:t>
            </w:r>
          </w:p>
        </w:tc>
      </w:tr>
      <w:tr w14:paraId="0245A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44" w:hRule="atLeast"/>
          <w:jc w:val="center"/>
        </w:trPr>
        <w:tc>
          <w:tcPr>
            <w:tcW w:w="1498" w:type="dxa"/>
          </w:tcPr>
          <w:p w14:paraId="7BB6DBC0">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产地</w:t>
            </w:r>
          </w:p>
        </w:tc>
        <w:tc>
          <w:tcPr>
            <w:tcW w:w="2623" w:type="dxa"/>
            <w:gridSpan w:val="2"/>
          </w:tcPr>
          <w:p w14:paraId="7ADAAA3C">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江西</w:t>
            </w:r>
          </w:p>
        </w:tc>
        <w:tc>
          <w:tcPr>
            <w:tcW w:w="817" w:type="dxa"/>
          </w:tcPr>
          <w:p w14:paraId="721BB288">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包装</w:t>
            </w:r>
          </w:p>
        </w:tc>
        <w:tc>
          <w:tcPr>
            <w:tcW w:w="3130" w:type="dxa"/>
          </w:tcPr>
          <w:p w14:paraId="6EE668B7">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散装</w:t>
            </w:r>
          </w:p>
        </w:tc>
      </w:tr>
      <w:tr w14:paraId="2D94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6E241ACD">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总金额</w:t>
            </w:r>
          </w:p>
        </w:tc>
        <w:tc>
          <w:tcPr>
            <w:tcW w:w="6570" w:type="dxa"/>
            <w:gridSpan w:val="4"/>
          </w:tcPr>
          <w:p w14:paraId="1E781890">
            <w:pPr>
              <w:pStyle w:val="2"/>
              <w:spacing w:line="460" w:lineRule="exact"/>
              <w:ind w:firstLine="240" w:firstLineChars="100"/>
              <w:jc w:val="center"/>
              <w:rPr>
                <w:rFonts w:hint="eastAsia" w:ascii="宋体" w:hAnsi="宋体" w:eastAsia="宋体"/>
                <w:sz w:val="24"/>
              </w:rPr>
            </w:pPr>
            <w:r>
              <w:rPr>
                <w:rFonts w:hint="eastAsia" w:ascii="宋体" w:hAnsi="宋体" w:eastAsia="宋体"/>
                <w:sz w:val="24"/>
              </w:rPr>
              <w:t>XXX元</w:t>
            </w:r>
          </w:p>
        </w:tc>
      </w:tr>
      <w:tr w14:paraId="449D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vAlign w:val="center"/>
          </w:tcPr>
          <w:p w14:paraId="7D601D09">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存放地点</w:t>
            </w:r>
          </w:p>
        </w:tc>
        <w:tc>
          <w:tcPr>
            <w:tcW w:w="6570" w:type="dxa"/>
            <w:gridSpan w:val="4"/>
            <w:vAlign w:val="center"/>
          </w:tcPr>
          <w:p w14:paraId="73A37371">
            <w:pPr>
              <w:jc w:val="center"/>
              <w:rPr>
                <w:rFonts w:hint="eastAsia" w:ascii="宋体" w:hAnsi="宋体"/>
                <w:kern w:val="0"/>
                <w:sz w:val="24"/>
              </w:rPr>
            </w:pPr>
            <w:r>
              <w:rPr>
                <w:rFonts w:hint="eastAsia" w:ascii="宋体" w:hAnsi="宋体" w:eastAsia="宋体"/>
                <w:sz w:val="24"/>
              </w:rPr>
              <w:t>XXX</w:t>
            </w:r>
          </w:p>
        </w:tc>
      </w:tr>
      <w:tr w14:paraId="20E3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04" w:hRule="atLeast"/>
          <w:jc w:val="center"/>
        </w:trPr>
        <w:tc>
          <w:tcPr>
            <w:tcW w:w="1498" w:type="dxa"/>
            <w:vAlign w:val="center"/>
          </w:tcPr>
          <w:p w14:paraId="0FD19F76">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交货方式</w:t>
            </w:r>
          </w:p>
        </w:tc>
        <w:tc>
          <w:tcPr>
            <w:tcW w:w="6570" w:type="dxa"/>
            <w:gridSpan w:val="4"/>
          </w:tcPr>
          <w:p w14:paraId="7333D2B1">
            <w:pPr>
              <w:widowControl/>
              <w:jc w:val="left"/>
              <w:rPr>
                <w:rFonts w:hint="eastAsia" w:ascii="微软雅黑" w:hAnsi="微软雅黑" w:eastAsia="微软雅黑" w:cs="宋体"/>
                <w:color w:val="242424"/>
                <w:kern w:val="0"/>
                <w:szCs w:val="21"/>
              </w:rPr>
            </w:pPr>
            <w:r>
              <w:rPr>
                <w:rFonts w:hint="eastAsia" w:ascii="宋体" w:hAnsi="宋体"/>
                <w:kern w:val="0"/>
                <w:sz w:val="24"/>
              </w:rPr>
              <w:t>仓库车板交货。卖方组织搬运人员，搬运装卸费等费用由卖方负责。卖方向买方收取20元/吨的出仓服务费（含装卸搬运费、设备使用费、水电费、过磅费、出库期间管理费）。仓库出租方向买方收取10元/吨的出仓服务费（含设备损耗费、整理清扫费、车辆管理费）。</w:t>
            </w:r>
          </w:p>
        </w:tc>
      </w:tr>
      <w:tr w14:paraId="2376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759439B2">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交货期限</w:t>
            </w:r>
          </w:p>
        </w:tc>
        <w:tc>
          <w:tcPr>
            <w:tcW w:w="6570" w:type="dxa"/>
            <w:gridSpan w:val="4"/>
          </w:tcPr>
          <w:p w14:paraId="60006217">
            <w:pPr>
              <w:pStyle w:val="2"/>
              <w:spacing w:line="460" w:lineRule="exact"/>
              <w:ind w:firstLine="0" w:firstLineChars="0"/>
              <w:rPr>
                <w:rFonts w:hint="eastAsia" w:ascii="宋体" w:hAnsi="宋体" w:eastAsia="宋体"/>
                <w:sz w:val="24"/>
              </w:rPr>
            </w:pPr>
            <w:r>
              <w:rPr>
                <w:rFonts w:hint="eastAsia" w:ascii="宋体" w:hAnsi="宋体" w:eastAsia="宋体"/>
                <w:sz w:val="24"/>
              </w:rPr>
              <w:t>202</w:t>
            </w:r>
            <w:r>
              <w:rPr>
                <w:rFonts w:hint="eastAsia" w:ascii="宋体" w:hAnsi="宋体" w:eastAsia="宋体"/>
                <w:sz w:val="24"/>
                <w:lang w:val="en-US" w:eastAsia="zh-CN"/>
              </w:rPr>
              <w:t>6</w:t>
            </w:r>
            <w:r>
              <w:rPr>
                <w:rFonts w:hint="eastAsia" w:ascii="宋体" w:hAnsi="宋体" w:eastAsia="宋体"/>
                <w:sz w:val="24"/>
              </w:rPr>
              <w:t>年XX月XX日-202</w:t>
            </w:r>
            <w:r>
              <w:rPr>
                <w:rFonts w:hint="eastAsia" w:ascii="宋体" w:hAnsi="宋体" w:eastAsia="宋体"/>
                <w:sz w:val="24"/>
                <w:lang w:val="en-US" w:eastAsia="zh-CN"/>
              </w:rPr>
              <w:t>6</w:t>
            </w:r>
            <w:r>
              <w:rPr>
                <w:rFonts w:hint="eastAsia" w:ascii="宋体" w:hAnsi="宋体" w:eastAsia="宋体"/>
                <w:sz w:val="24"/>
              </w:rPr>
              <w:t>年XX月XX日</w:t>
            </w:r>
          </w:p>
        </w:tc>
      </w:tr>
    </w:tbl>
    <w:p w14:paraId="0909CCEA">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二、质量标准：本批稻谷卖方提供样品在交易现场展示以供参考，交易标的质量、产地以仓库查看大样为准，买方已在竞价交易前查验过质量、品质、食品安全指标，本合同的签订视为买方对上述指标已认可，不得对上述各项指标、产地提出异议。同时签订《稻谷销售出库质量安全约定责任书》。</w:t>
      </w:r>
    </w:p>
    <w:p w14:paraId="662E4AF3">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三、结算方式及期限：买方先支付稻谷货款后再办理提货，出库时需向卖方提供车辆信息证明材料或微信、短信等文字信息。买方在交货期限内付清全部货款。货款资金以转账卖方指定的银行账号为准。</w:t>
      </w:r>
    </w:p>
    <w:p w14:paraId="5F30C66D">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买方必须在中标之日起三日内与卖方签订合同，交货期限内将粮食全部提货完毕。</w:t>
      </w:r>
    </w:p>
    <w:p w14:paraId="19D64D37">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四、结算凭证：卖方提供本单位开出的</w:t>
      </w:r>
      <w:r>
        <w:rPr>
          <w:rFonts w:hint="eastAsia" w:ascii="宋体" w:hAnsi="宋体"/>
          <w:kern w:val="0"/>
          <w:sz w:val="24"/>
          <w:lang w:val="en-US" w:eastAsia="zh-CN"/>
        </w:rPr>
        <w:t>有效</w:t>
      </w:r>
      <w:r>
        <w:rPr>
          <w:rFonts w:hint="eastAsia" w:ascii="宋体" w:hAnsi="宋体"/>
          <w:kern w:val="0"/>
          <w:sz w:val="24"/>
        </w:rPr>
        <w:t>发票。</w:t>
      </w:r>
    </w:p>
    <w:p w14:paraId="5762EEB7">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五、验收方式：数量以经技术监督部门检验合格的计量工具验斤为准。包装粮包装物作货计重，按粮食计价，结算时麻袋重量按1.0kg/条计，粮食和麻袋分开结算，分别开具发票。</w:t>
      </w:r>
    </w:p>
    <w:p w14:paraId="29AF42F1">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六、费用承担：成交价为仓库车板交货价，出仓时由卖方与有资质的第三方劳务装卸服务公司签订劳务费用支付合同及作业安全管理协议，出库装车过程中产生的搬运装卸费由卖方承担。卖方向买方收取20元/吨的出仓服务费（含装卸搬运费、设备使用费、水电费、过磅费、出库期间管理费）。仓库出租方向买方收取10元/吨的出仓服务费（含设备损耗费、整理清扫费、车辆管理费）。</w:t>
      </w:r>
    </w:p>
    <w:p w14:paraId="0C2336CD">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七、违约责任：</w:t>
      </w:r>
      <w:r>
        <w:rPr>
          <w:rFonts w:hint="eastAsia" w:ascii="宋体" w:hAnsi="宋体"/>
          <w:color w:val="242424"/>
          <w:sz w:val="24"/>
          <w:shd w:val="clear" w:color="auto" w:fill="FFFFFF"/>
        </w:rPr>
        <w:t>买卖双方须遵守当次《交易公告》。如有任一方违约，</w:t>
      </w:r>
      <w:r>
        <w:rPr>
          <w:rFonts w:hint="eastAsia" w:ascii="宋体" w:hAnsi="宋体"/>
          <w:kern w:val="0"/>
          <w:sz w:val="24"/>
        </w:rPr>
        <w:t>违约方违约部分保证金划归对方，并承担对方违约部分交易手续费，交易中心不承担经济责任。</w:t>
      </w:r>
    </w:p>
    <w:p w14:paraId="1A5DD442">
      <w:pPr>
        <w:autoSpaceDE w:val="0"/>
        <w:autoSpaceDN w:val="0"/>
        <w:adjustRightInd w:val="0"/>
        <w:spacing w:line="400" w:lineRule="exact"/>
        <w:ind w:firstLine="480" w:firstLineChars="200"/>
        <w:rPr>
          <w:rFonts w:hint="eastAsia" w:ascii="宋体" w:hAnsi="宋体"/>
          <w:sz w:val="24"/>
        </w:rPr>
      </w:pPr>
      <w:r>
        <w:rPr>
          <w:rFonts w:hint="eastAsia" w:ascii="宋体" w:hAnsi="宋体"/>
          <w:kern w:val="0"/>
          <w:sz w:val="24"/>
        </w:rPr>
        <w:t>八、争议解决：</w:t>
      </w:r>
    </w:p>
    <w:p w14:paraId="15E56243">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1、出现不明确责任情况，买卖双方协商、交易中心协调解决。协商不成由卖方辖区人民法院按法律程序解决。</w:t>
      </w:r>
    </w:p>
    <w:p w14:paraId="2AC28944">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2、因政府相关部门的有关规定，造成卖方不能履约的，由交易中心监督退回买方已付货款</w:t>
      </w:r>
      <w:r>
        <w:rPr>
          <w:rFonts w:hint="eastAsia" w:ascii="宋体" w:hAnsi="宋体"/>
          <w:sz w:val="24"/>
        </w:rPr>
        <w:t>，卖方不承担违约责任。</w:t>
      </w:r>
      <w:r>
        <w:rPr>
          <w:rStyle w:val="11"/>
          <w:rFonts w:hint="eastAsia" w:ascii="宋体" w:hAnsi="宋体"/>
          <w:color w:val="242424"/>
          <w:sz w:val="24"/>
          <w:shd w:val="clear" w:color="auto" w:fill="FFFFFF"/>
        </w:rPr>
        <w:t>由于不可抗力原因导致买方逾期提货，买方应在发生之日起</w:t>
      </w:r>
      <w:r>
        <w:rPr>
          <w:rStyle w:val="11"/>
          <w:rFonts w:hint="eastAsia" w:hAnsi="宋体"/>
          <w:color w:val="242424"/>
          <w:sz w:val="24"/>
          <w:shd w:val="clear" w:color="auto" w:fill="FFFFFF"/>
        </w:rPr>
        <w:t>5</w:t>
      </w:r>
      <w:r>
        <w:rPr>
          <w:rStyle w:val="11"/>
          <w:rFonts w:hint="eastAsia" w:ascii="宋体" w:hAnsi="宋体"/>
          <w:color w:val="242424"/>
          <w:sz w:val="24"/>
          <w:shd w:val="clear" w:color="auto" w:fill="FFFFFF"/>
        </w:rPr>
        <w:t>天内向卖方提交书面报告，说明受阻、受影响情况，经卖方核实同意后，买卖双方签订补充协议，相应顺延合同履行期限。除不可抗力原因外，买方未按合同约定提货的，</w:t>
      </w:r>
      <w:r>
        <w:rPr>
          <w:rFonts w:hint="eastAsia" w:ascii="宋体" w:hAnsi="宋体"/>
          <w:kern w:val="0"/>
          <w:sz w:val="24"/>
        </w:rPr>
        <w:t>逾期所发生的一切风险概由买方自负，逾期20天内（含20天）按剩余标的的数量每天收取每吨0.5元的仓库占用费，逾期20天以上的，视为买方违约并放弃该标的，卖方将没收买方违约部分履约保证金，剩余货物卖方重新组织拍卖。</w:t>
      </w:r>
    </w:p>
    <w:p w14:paraId="12EB46D3">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九、本合同自签订之日起生效。本合同履行完毕，双方结清费用时自然终止。</w:t>
      </w:r>
    </w:p>
    <w:p w14:paraId="648A95C0">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免责条款：不可抗力（暴雨、台风、地震、疫情或社会异常现象等）导致合同部分或全部无法履行或履行延迟，受不可抗力影响的一方不承担违约责任，但应当及时通知对方并提供相关证明材料，以减轻可能给对方造成的损失。</w:t>
      </w:r>
    </w:p>
    <w:p w14:paraId="5781348B">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十一、买方人员、车辆、货运司机及随车人员必须配合卖方工作相关要求，服从卖方仓库的管理。</w:t>
      </w:r>
    </w:p>
    <w:p w14:paraId="26019FDA">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十二、合同签订地点：梅州市。</w:t>
      </w:r>
    </w:p>
    <w:p w14:paraId="20542340">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十三、本合同一式三份，买卖双方、确认单位各执一份。</w:t>
      </w:r>
    </w:p>
    <w:p w14:paraId="03960EBB">
      <w:pPr>
        <w:autoSpaceDE w:val="0"/>
        <w:autoSpaceDN w:val="0"/>
        <w:adjustRightInd w:val="0"/>
        <w:spacing w:line="400" w:lineRule="exact"/>
        <w:rPr>
          <w:rFonts w:hint="eastAsia" w:ascii="宋体" w:hAnsi="宋体"/>
          <w:kern w:val="0"/>
          <w:sz w:val="24"/>
        </w:rPr>
      </w:pPr>
      <w:r>
        <w:rPr>
          <w:rFonts w:hint="eastAsia" w:ascii="宋体" w:hAnsi="宋体"/>
          <w:kern w:val="0"/>
          <w:sz w:val="24"/>
        </w:rPr>
        <w:t>买方单位（盖章）：                   卖方单位（盖章）：</w:t>
      </w:r>
    </w:p>
    <w:p w14:paraId="1CF54E31">
      <w:pPr>
        <w:autoSpaceDE w:val="0"/>
        <w:autoSpaceDN w:val="0"/>
        <w:adjustRightInd w:val="0"/>
        <w:spacing w:line="400" w:lineRule="exact"/>
        <w:rPr>
          <w:rFonts w:hint="eastAsia" w:ascii="宋体" w:hAnsi="宋体"/>
          <w:kern w:val="0"/>
          <w:sz w:val="24"/>
        </w:rPr>
      </w:pPr>
    </w:p>
    <w:p w14:paraId="5B4F71D4">
      <w:pPr>
        <w:autoSpaceDE w:val="0"/>
        <w:autoSpaceDN w:val="0"/>
        <w:adjustRightInd w:val="0"/>
        <w:spacing w:line="400" w:lineRule="exact"/>
        <w:rPr>
          <w:rFonts w:hint="eastAsia" w:ascii="宋体" w:hAnsi="宋体"/>
          <w:kern w:val="0"/>
          <w:sz w:val="24"/>
        </w:rPr>
      </w:pPr>
      <w:r>
        <w:rPr>
          <w:rFonts w:hint="eastAsia" w:ascii="宋体" w:hAnsi="宋体"/>
          <w:kern w:val="0"/>
          <w:sz w:val="24"/>
        </w:rPr>
        <w:t>法定代表人（签字）：                 法定代表人（签字）：</w:t>
      </w:r>
    </w:p>
    <w:p w14:paraId="2BCD1853">
      <w:pPr>
        <w:spacing w:line="400" w:lineRule="exact"/>
        <w:rPr>
          <w:rFonts w:hint="eastAsia" w:ascii="宋体" w:hAnsi="宋体"/>
          <w:kern w:val="0"/>
          <w:sz w:val="24"/>
        </w:rPr>
      </w:pPr>
    </w:p>
    <w:p w14:paraId="0460CD93">
      <w:pPr>
        <w:spacing w:line="400" w:lineRule="exact"/>
        <w:rPr>
          <w:rFonts w:hint="eastAsia" w:ascii="宋体" w:hAnsi="宋体"/>
          <w:kern w:val="0"/>
          <w:sz w:val="24"/>
        </w:rPr>
      </w:pPr>
    </w:p>
    <w:p w14:paraId="794915A1">
      <w:pPr>
        <w:spacing w:line="400" w:lineRule="exact"/>
        <w:rPr>
          <w:rFonts w:hint="eastAsia" w:ascii="宋体" w:hAnsi="宋体"/>
          <w:kern w:val="0"/>
          <w:sz w:val="24"/>
        </w:rPr>
      </w:pPr>
      <w:r>
        <w:rPr>
          <w:rFonts w:hint="eastAsia" w:ascii="宋体" w:hAnsi="宋体"/>
          <w:kern w:val="0"/>
          <w:sz w:val="24"/>
        </w:rPr>
        <w:t>卖方收货款账户</w:t>
      </w:r>
    </w:p>
    <w:p w14:paraId="6A538293">
      <w:pPr>
        <w:autoSpaceDE w:val="0"/>
        <w:autoSpaceDN w:val="0"/>
        <w:adjustRightInd w:val="0"/>
        <w:spacing w:line="400" w:lineRule="exact"/>
        <w:rPr>
          <w:rFonts w:hint="eastAsia" w:ascii="宋体" w:hAnsi="宋体"/>
          <w:kern w:val="0"/>
          <w:sz w:val="24"/>
        </w:rPr>
      </w:pPr>
      <w:r>
        <w:rPr>
          <w:rFonts w:hint="eastAsia" w:ascii="宋体" w:hAnsi="宋体"/>
          <w:kern w:val="0"/>
          <w:sz w:val="24"/>
        </w:rPr>
        <w:t xml:space="preserve">收款单位：梅州市嘉泰粮食和物资储备有限公司 </w:t>
      </w:r>
    </w:p>
    <w:p w14:paraId="2D604EA2">
      <w:pPr>
        <w:autoSpaceDE w:val="0"/>
        <w:autoSpaceDN w:val="0"/>
        <w:adjustRightInd w:val="0"/>
        <w:spacing w:line="400" w:lineRule="exact"/>
        <w:rPr>
          <w:rFonts w:hint="eastAsia" w:ascii="宋体" w:hAnsi="宋体"/>
          <w:kern w:val="0"/>
          <w:sz w:val="24"/>
        </w:rPr>
      </w:pPr>
      <w:r>
        <w:rPr>
          <w:rFonts w:hint="eastAsia" w:ascii="宋体" w:hAnsi="宋体"/>
          <w:kern w:val="0"/>
          <w:sz w:val="24"/>
        </w:rPr>
        <w:t>开户行：中国农业发展银行梅州市分行</w:t>
      </w:r>
    </w:p>
    <w:p w14:paraId="6C21F8FC">
      <w:pPr>
        <w:autoSpaceDE w:val="0"/>
        <w:autoSpaceDN w:val="0"/>
        <w:adjustRightInd w:val="0"/>
        <w:spacing w:line="400" w:lineRule="exact"/>
        <w:rPr>
          <w:rFonts w:hint="eastAsia" w:ascii="宋体" w:hAnsi="宋体"/>
          <w:kern w:val="0"/>
          <w:sz w:val="24"/>
        </w:rPr>
      </w:pPr>
      <w:r>
        <w:rPr>
          <w:rFonts w:hint="eastAsia" w:ascii="宋体" w:hAnsi="宋体"/>
          <w:kern w:val="0"/>
          <w:sz w:val="24"/>
        </w:rPr>
        <w:t>帐号：2034 4149 9001 0000 0005 921</w:t>
      </w:r>
    </w:p>
    <w:p w14:paraId="051803F0">
      <w:pPr>
        <w:autoSpaceDE w:val="0"/>
        <w:autoSpaceDN w:val="0"/>
        <w:adjustRightInd w:val="0"/>
        <w:spacing w:line="400" w:lineRule="exact"/>
        <w:rPr>
          <w:rFonts w:hint="eastAsia" w:ascii="宋体" w:hAnsi="宋体"/>
          <w:kern w:val="0"/>
          <w:sz w:val="24"/>
        </w:rPr>
      </w:pPr>
      <w:r>
        <w:rPr>
          <w:rFonts w:hint="eastAsia" w:ascii="宋体" w:hAnsi="宋体"/>
          <w:kern w:val="0"/>
          <w:sz w:val="24"/>
        </w:rPr>
        <w:t xml:space="preserve">电话：0753-2128293    </w:t>
      </w:r>
    </w:p>
    <w:p w14:paraId="4D1B2CEF">
      <w:pPr>
        <w:autoSpaceDE w:val="0"/>
        <w:autoSpaceDN w:val="0"/>
        <w:adjustRightInd w:val="0"/>
        <w:spacing w:line="400" w:lineRule="exact"/>
        <w:rPr>
          <w:rFonts w:hint="eastAsia" w:ascii="宋体" w:hAnsi="宋体"/>
          <w:kern w:val="0"/>
          <w:sz w:val="24"/>
        </w:rPr>
      </w:pPr>
      <w:r>
        <w:rPr>
          <w:rFonts w:hint="eastAsia" w:ascii="宋体" w:hAnsi="宋体"/>
          <w:kern w:val="0"/>
          <w:sz w:val="24"/>
        </w:rPr>
        <w:t>传真：0753-21282</w:t>
      </w:r>
      <w:r>
        <w:rPr>
          <w:rFonts w:hint="eastAsia" w:ascii="宋体" w:hAnsi="宋体"/>
          <w:kern w:val="0"/>
          <w:sz w:val="24"/>
          <w:lang w:val="en-US" w:eastAsia="zh-CN"/>
        </w:rPr>
        <w:t>93</w:t>
      </w:r>
      <w:r>
        <w:rPr>
          <w:rFonts w:hint="eastAsia" w:ascii="宋体" w:hAnsi="宋体"/>
          <w:kern w:val="0"/>
          <w:sz w:val="24"/>
        </w:rPr>
        <w:t xml:space="preserve">   </w:t>
      </w:r>
    </w:p>
    <w:p w14:paraId="685CC4F4">
      <w:pPr>
        <w:spacing w:line="400" w:lineRule="exact"/>
        <w:rPr>
          <w:rFonts w:hint="eastAsia" w:ascii="宋体" w:hAnsi="宋体"/>
          <w:kern w:val="0"/>
          <w:sz w:val="24"/>
        </w:rPr>
      </w:pPr>
    </w:p>
    <w:p w14:paraId="47F9DDF3">
      <w:pPr>
        <w:spacing w:line="400" w:lineRule="exact"/>
        <w:rPr>
          <w:rFonts w:hint="eastAsia" w:ascii="宋体" w:hAnsi="宋体"/>
          <w:sz w:val="24"/>
        </w:rPr>
      </w:pPr>
      <w:r>
        <w:rPr>
          <w:rFonts w:hint="eastAsia" w:ascii="宋体" w:hAnsi="宋体"/>
          <w:sz w:val="24"/>
        </w:rPr>
        <w:t>确认单位：梅州市嘉应粮食交易中心有限公司</w:t>
      </w:r>
    </w:p>
    <w:p w14:paraId="476D1730">
      <w:pPr>
        <w:spacing w:line="400" w:lineRule="exact"/>
        <w:rPr>
          <w:rFonts w:hint="eastAsia" w:ascii="宋体" w:hAnsi="宋体"/>
          <w:sz w:val="24"/>
        </w:rPr>
      </w:pPr>
      <w:r>
        <w:rPr>
          <w:rFonts w:hint="eastAsia" w:ascii="宋体" w:hAnsi="宋体"/>
          <w:kern w:val="0"/>
          <w:sz w:val="24"/>
        </w:rPr>
        <w:t>电话（传真）</w:t>
      </w:r>
      <w:r>
        <w:rPr>
          <w:rFonts w:hint="eastAsia" w:ascii="宋体" w:hAnsi="宋体"/>
          <w:sz w:val="24"/>
        </w:rPr>
        <w:t xml:space="preserve">：0753-2128232    0753-2128231     </w:t>
      </w:r>
    </w:p>
    <w:p w14:paraId="76227259">
      <w:pPr>
        <w:spacing w:line="400" w:lineRule="exact"/>
        <w:jc w:val="right"/>
        <w:rPr>
          <w:rFonts w:hint="eastAsia" w:ascii="宋体" w:hAnsi="宋体"/>
          <w:sz w:val="24"/>
        </w:rPr>
        <w:sectPr>
          <w:footerReference r:id="rId3" w:type="default"/>
          <w:pgSz w:w="11907" w:h="16840"/>
          <w:pgMar w:top="1247" w:right="1469" w:bottom="1191" w:left="1622" w:header="720" w:footer="720" w:gutter="0"/>
          <w:cols w:space="720" w:num="1"/>
        </w:sectPr>
      </w:pPr>
      <w:r>
        <w:rPr>
          <w:rFonts w:hint="eastAsia" w:ascii="宋体" w:hAnsi="宋体"/>
          <w:sz w:val="24"/>
        </w:rPr>
        <w:t>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4</w:t>
      </w:r>
      <w:r>
        <w:rPr>
          <w:rFonts w:hint="eastAsia" w:ascii="宋体" w:hAnsi="宋体"/>
          <w:sz w:val="24"/>
        </w:rPr>
        <w:t>月</w:t>
      </w:r>
      <w:r>
        <w:rPr>
          <w:rFonts w:hint="eastAsia" w:ascii="宋体" w:hAnsi="宋体"/>
          <w:sz w:val="24"/>
          <w:lang w:val="en-US" w:eastAsia="zh-CN"/>
        </w:rPr>
        <w:t>15</w:t>
      </w:r>
      <w:r>
        <w:rPr>
          <w:rFonts w:hint="eastAsia" w:ascii="宋体" w:hAnsi="宋体"/>
          <w:sz w:val="24"/>
        </w:rPr>
        <w:t>日</w:t>
      </w:r>
    </w:p>
    <w:p w14:paraId="6C337945">
      <w:pPr>
        <w:jc w:val="center"/>
        <w:rPr>
          <w:b/>
          <w:sz w:val="44"/>
          <w:szCs w:val="44"/>
          <w:highlight w:val="none"/>
        </w:rPr>
      </w:pPr>
      <w:r>
        <w:rPr>
          <w:rFonts w:hint="eastAsia"/>
          <w:b/>
          <w:sz w:val="44"/>
          <w:szCs w:val="44"/>
          <w:highlight w:val="none"/>
        </w:rPr>
        <w:t>稻谷销售出库质量安全约定责任书</w:t>
      </w:r>
    </w:p>
    <w:p w14:paraId="22308FEC">
      <w:pPr>
        <w:rPr>
          <w:sz w:val="36"/>
          <w:szCs w:val="36"/>
          <w:highlight w:val="none"/>
        </w:rPr>
      </w:pPr>
    </w:p>
    <w:p w14:paraId="19DBF921">
      <w:pPr>
        <w:autoSpaceDE w:val="0"/>
        <w:autoSpaceDN w:val="0"/>
        <w:adjustRightInd w:val="0"/>
        <w:spacing w:line="500" w:lineRule="exact"/>
        <w:rPr>
          <w:rFonts w:hint="eastAsia"/>
          <w:sz w:val="28"/>
          <w:szCs w:val="28"/>
          <w:highlight w:val="none"/>
        </w:rPr>
      </w:pPr>
      <w:r>
        <w:rPr>
          <w:rFonts w:hint="eastAsia"/>
          <w:sz w:val="28"/>
          <w:szCs w:val="28"/>
          <w:highlight w:val="none"/>
        </w:rPr>
        <w:t>买方：</w:t>
      </w:r>
    </w:p>
    <w:p w14:paraId="6816EDBB">
      <w:pPr>
        <w:tabs>
          <w:tab w:val="left" w:pos="3336"/>
        </w:tabs>
        <w:spacing w:line="560" w:lineRule="exact"/>
        <w:rPr>
          <w:sz w:val="28"/>
          <w:szCs w:val="28"/>
          <w:highlight w:val="none"/>
        </w:rPr>
      </w:pPr>
      <w:r>
        <w:rPr>
          <w:rFonts w:hint="eastAsia"/>
          <w:sz w:val="28"/>
          <w:szCs w:val="28"/>
          <w:highlight w:val="none"/>
        </w:rPr>
        <w:t>卖方：梅州市嘉泰粮食和物资储备有限公司</w:t>
      </w:r>
    </w:p>
    <w:p w14:paraId="0FC49E3A">
      <w:pPr>
        <w:spacing w:line="560" w:lineRule="exact"/>
        <w:ind w:firstLine="560" w:firstLineChars="200"/>
        <w:rPr>
          <w:rFonts w:ascii="仿宋" w:eastAsia="仿宋"/>
          <w:sz w:val="32"/>
          <w:szCs w:val="32"/>
        </w:rPr>
      </w:pPr>
      <w:r>
        <w:rPr>
          <w:rFonts w:hint="eastAsia"/>
          <w:sz w:val="28"/>
          <w:szCs w:val="28"/>
          <w:highlight w:val="none"/>
        </w:rPr>
        <w:t>根据《梅州市发展和改革局转发广东省粮食和物资储备局关于进一步加强政府储备粮食质量安全管理的通知》（梅市发改〔2022〕146号）要求，与购买企业约定食品安全责任，避免食品安全风险。为严格落实粮食质量安全主体责任，严格执行国家粮食质量安全管理规定，切实保障全市地方储备粮质量安全，明确食品安全责任，双方共同约定如下：</w:t>
      </w:r>
    </w:p>
    <w:p w14:paraId="7A706297">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sz w:val="28"/>
          <w:szCs w:val="28"/>
          <w:highlight w:val="none"/>
        </w:rPr>
      </w:pPr>
      <w:r>
        <w:rPr>
          <w:rFonts w:hint="eastAsia"/>
          <w:sz w:val="28"/>
          <w:szCs w:val="28"/>
          <w:highlight w:val="none"/>
        </w:rPr>
        <w:t>1、买方单位于202</w:t>
      </w:r>
      <w:r>
        <w:rPr>
          <w:rFonts w:hint="eastAsia"/>
          <w:sz w:val="28"/>
          <w:szCs w:val="28"/>
          <w:highlight w:val="none"/>
          <w:lang w:val="en-US" w:eastAsia="zh-CN"/>
        </w:rPr>
        <w:t>6</w:t>
      </w:r>
      <w:r>
        <w:rPr>
          <w:rFonts w:hint="eastAsia"/>
          <w:sz w:val="28"/>
          <w:szCs w:val="28"/>
          <w:highlight w:val="none"/>
        </w:rPr>
        <w:t>年</w:t>
      </w:r>
      <w:r>
        <w:rPr>
          <w:rFonts w:hint="eastAsia" w:ascii="宋体" w:hAnsi="宋体" w:eastAsia="宋体"/>
          <w:sz w:val="28"/>
          <w:szCs w:val="28"/>
          <w:lang w:val="en-US" w:eastAsia="zh-CN"/>
        </w:rPr>
        <w:t>XX</w:t>
      </w:r>
      <w:r>
        <w:rPr>
          <w:rFonts w:hint="eastAsia"/>
          <w:sz w:val="28"/>
          <w:szCs w:val="28"/>
          <w:highlight w:val="none"/>
        </w:rPr>
        <w:t>月</w:t>
      </w:r>
      <w:r>
        <w:rPr>
          <w:rFonts w:hint="eastAsia" w:ascii="宋体" w:hAnsi="宋体" w:eastAsia="宋体"/>
          <w:sz w:val="28"/>
          <w:szCs w:val="28"/>
          <w:lang w:val="en-US" w:eastAsia="zh-CN"/>
        </w:rPr>
        <w:t>XX</w:t>
      </w:r>
      <w:r>
        <w:rPr>
          <w:rFonts w:hint="eastAsia"/>
          <w:sz w:val="28"/>
          <w:szCs w:val="28"/>
          <w:highlight w:val="none"/>
        </w:rPr>
        <w:t>日在梅州市嘉应粮食交易中心有限公司竞价中标稻谷</w:t>
      </w:r>
      <w:r>
        <w:rPr>
          <w:rFonts w:hint="eastAsia" w:ascii="宋体" w:hAnsi="宋体" w:eastAsia="宋体"/>
          <w:sz w:val="28"/>
          <w:szCs w:val="28"/>
          <w:lang w:val="en-US" w:eastAsia="zh-CN"/>
        </w:rPr>
        <w:t>XXXX</w:t>
      </w:r>
      <w:r>
        <w:rPr>
          <w:rFonts w:hint="eastAsia"/>
          <w:sz w:val="28"/>
          <w:szCs w:val="28"/>
          <w:highlight w:val="none"/>
        </w:rPr>
        <w:t>吨，合同编号：</w:t>
      </w:r>
      <w:r>
        <w:rPr>
          <w:rFonts w:hint="eastAsia"/>
          <w:sz w:val="28"/>
          <w:szCs w:val="28"/>
          <w:highlight w:val="none"/>
          <w:lang w:val="en-US" w:eastAsia="zh-CN"/>
        </w:rPr>
        <w:t>2026</w:t>
      </w:r>
      <w:r>
        <w:rPr>
          <w:rFonts w:hint="eastAsia" w:ascii="宋体" w:hAnsi="宋体" w:eastAsia="宋体"/>
          <w:sz w:val="28"/>
          <w:szCs w:val="28"/>
          <w:lang w:val="en-US" w:eastAsia="zh-CN"/>
        </w:rPr>
        <w:t>XXXXXX</w:t>
      </w:r>
      <w:r>
        <w:rPr>
          <w:rFonts w:hint="eastAsia" w:ascii="宋体" w:hAnsi="宋体"/>
          <w:sz w:val="28"/>
          <w:szCs w:val="28"/>
          <w:lang w:val="en-US" w:eastAsia="zh-CN"/>
        </w:rPr>
        <w:t>，</w:t>
      </w:r>
      <w:r>
        <w:rPr>
          <w:rFonts w:hint="eastAsia"/>
          <w:sz w:val="28"/>
          <w:szCs w:val="28"/>
          <w:highlight w:val="none"/>
        </w:rPr>
        <w:t>卖方所销售出库的稻谷（三级）各项主要质量指标、粮食卫生标准均符合国家标准。</w:t>
      </w:r>
    </w:p>
    <w:p w14:paraId="52E93258">
      <w:pPr>
        <w:tabs>
          <w:tab w:val="left" w:pos="3336"/>
        </w:tabs>
        <w:spacing w:line="560" w:lineRule="exact"/>
        <w:ind w:firstLine="560" w:firstLineChars="200"/>
        <w:rPr>
          <w:sz w:val="28"/>
          <w:szCs w:val="28"/>
          <w:highlight w:val="none"/>
        </w:rPr>
      </w:pPr>
      <w:r>
        <w:rPr>
          <w:rFonts w:hint="eastAsia"/>
          <w:sz w:val="28"/>
          <w:szCs w:val="28"/>
          <w:highlight w:val="none"/>
        </w:rPr>
        <w:t>2、买方如果将稻谷再转卖给其他客户或作为食品原料加工，在转卖或加工过程中不容许添加、混合、掺杂其他品质的稻谷，加工企业要严格执行《食品安全法》有关规定，如出现食品安全责任，与卖方无关。</w:t>
      </w:r>
    </w:p>
    <w:p w14:paraId="468CCC38">
      <w:pPr>
        <w:tabs>
          <w:tab w:val="left" w:pos="3336"/>
        </w:tabs>
        <w:spacing w:line="560" w:lineRule="exact"/>
        <w:ind w:firstLine="560" w:firstLineChars="200"/>
        <w:rPr>
          <w:sz w:val="28"/>
          <w:szCs w:val="28"/>
          <w:highlight w:val="none"/>
        </w:rPr>
      </w:pPr>
      <w:r>
        <w:rPr>
          <w:rFonts w:hint="eastAsia"/>
          <w:sz w:val="28"/>
          <w:szCs w:val="28"/>
          <w:highlight w:val="none"/>
        </w:rPr>
        <w:t>特此约定。</w:t>
      </w:r>
    </w:p>
    <w:p w14:paraId="7C347C99">
      <w:pPr>
        <w:tabs>
          <w:tab w:val="left" w:pos="3336"/>
        </w:tabs>
        <w:rPr>
          <w:sz w:val="28"/>
          <w:szCs w:val="28"/>
          <w:highlight w:val="none"/>
        </w:rPr>
      </w:pPr>
    </w:p>
    <w:p w14:paraId="361C1D62">
      <w:pPr>
        <w:tabs>
          <w:tab w:val="left" w:pos="3336"/>
        </w:tabs>
        <w:rPr>
          <w:sz w:val="28"/>
          <w:szCs w:val="28"/>
          <w:highlight w:val="none"/>
        </w:rPr>
      </w:pPr>
    </w:p>
    <w:p w14:paraId="0E1D5917">
      <w:pPr>
        <w:keepNext w:val="0"/>
        <w:keepLines w:val="0"/>
        <w:pageBreakBefore w:val="0"/>
        <w:widowControl w:val="0"/>
        <w:tabs>
          <w:tab w:val="left" w:pos="3336"/>
        </w:tabs>
        <w:kinsoku/>
        <w:wordWrap/>
        <w:overflowPunct/>
        <w:topLinePunct w:val="0"/>
        <w:autoSpaceDE/>
        <w:autoSpaceDN/>
        <w:bidi w:val="0"/>
        <w:adjustRightInd/>
        <w:snapToGrid/>
        <w:spacing w:line="600" w:lineRule="exact"/>
        <w:textAlignment w:val="auto"/>
        <w:rPr>
          <w:sz w:val="28"/>
          <w:szCs w:val="28"/>
          <w:highlight w:val="none"/>
        </w:rPr>
      </w:pPr>
      <w:r>
        <w:rPr>
          <w:rFonts w:hint="eastAsia"/>
          <w:sz w:val="28"/>
          <w:szCs w:val="28"/>
          <w:highlight w:val="none"/>
        </w:rPr>
        <w:t xml:space="preserve">买方单位（盖章）：            </w:t>
      </w:r>
      <w:r>
        <w:rPr>
          <w:rFonts w:hint="eastAsia"/>
          <w:sz w:val="28"/>
          <w:szCs w:val="28"/>
          <w:highlight w:val="none"/>
          <w:lang w:val="en-US" w:eastAsia="zh-CN"/>
        </w:rPr>
        <w:t xml:space="preserve">     </w:t>
      </w:r>
      <w:r>
        <w:rPr>
          <w:rFonts w:hint="eastAsia"/>
          <w:sz w:val="28"/>
          <w:szCs w:val="28"/>
          <w:highlight w:val="none"/>
        </w:rPr>
        <w:t xml:space="preserve">卖方单位（盖章）： </w:t>
      </w:r>
    </w:p>
    <w:p w14:paraId="5B0CBD35">
      <w:pPr>
        <w:keepNext w:val="0"/>
        <w:keepLines w:val="0"/>
        <w:pageBreakBefore w:val="0"/>
        <w:widowControl w:val="0"/>
        <w:tabs>
          <w:tab w:val="left" w:pos="3336"/>
        </w:tabs>
        <w:kinsoku/>
        <w:wordWrap/>
        <w:overflowPunct/>
        <w:topLinePunct w:val="0"/>
        <w:autoSpaceDE/>
        <w:autoSpaceDN/>
        <w:bidi w:val="0"/>
        <w:adjustRightInd/>
        <w:snapToGrid/>
        <w:spacing w:line="600" w:lineRule="exact"/>
        <w:jc w:val="left"/>
        <w:textAlignment w:val="auto"/>
        <w:rPr>
          <w:rFonts w:hint="eastAsia"/>
          <w:sz w:val="28"/>
          <w:szCs w:val="28"/>
          <w:highlight w:val="none"/>
        </w:rPr>
      </w:pPr>
      <w:r>
        <w:rPr>
          <w:rFonts w:hint="eastAsia"/>
          <w:sz w:val="28"/>
          <w:szCs w:val="28"/>
          <w:highlight w:val="none"/>
          <w:lang w:val="en-US" w:eastAsia="zh-CN"/>
        </w:rPr>
        <w:t>法定代表人</w:t>
      </w:r>
      <w:r>
        <w:rPr>
          <w:rFonts w:hint="eastAsia"/>
          <w:sz w:val="28"/>
          <w:szCs w:val="28"/>
          <w:highlight w:val="none"/>
        </w:rPr>
        <w:t>或</w:t>
      </w:r>
      <w:r>
        <w:rPr>
          <w:rFonts w:hint="eastAsia"/>
          <w:sz w:val="28"/>
          <w:szCs w:val="28"/>
          <w:highlight w:val="none"/>
          <w:lang w:val="en-US" w:eastAsia="zh-CN"/>
        </w:rPr>
        <w:t>代理</w:t>
      </w:r>
      <w:r>
        <w:rPr>
          <w:rFonts w:hint="eastAsia"/>
          <w:sz w:val="28"/>
          <w:szCs w:val="28"/>
          <w:highlight w:val="none"/>
        </w:rPr>
        <w:t xml:space="preserve">人（签字）：    </w:t>
      </w:r>
      <w:r>
        <w:rPr>
          <w:rFonts w:hint="eastAsia"/>
          <w:sz w:val="28"/>
          <w:szCs w:val="28"/>
          <w:highlight w:val="none"/>
          <w:lang w:val="en-US" w:eastAsia="zh-CN"/>
        </w:rPr>
        <w:t xml:space="preserve">   法定代表人</w:t>
      </w:r>
      <w:r>
        <w:rPr>
          <w:rFonts w:hint="eastAsia"/>
          <w:sz w:val="28"/>
          <w:szCs w:val="28"/>
          <w:highlight w:val="none"/>
        </w:rPr>
        <w:t>或</w:t>
      </w:r>
      <w:r>
        <w:rPr>
          <w:rFonts w:hint="eastAsia"/>
          <w:sz w:val="28"/>
          <w:szCs w:val="28"/>
          <w:highlight w:val="none"/>
          <w:lang w:val="en-US" w:eastAsia="zh-CN"/>
        </w:rPr>
        <w:t>代理</w:t>
      </w:r>
      <w:r>
        <w:rPr>
          <w:rFonts w:hint="eastAsia"/>
          <w:sz w:val="28"/>
          <w:szCs w:val="28"/>
          <w:highlight w:val="none"/>
        </w:rPr>
        <w:t>人（签字）：</w:t>
      </w:r>
    </w:p>
    <w:p w14:paraId="78AD7082">
      <w:pPr>
        <w:tabs>
          <w:tab w:val="left" w:pos="4676"/>
        </w:tabs>
        <w:ind w:firstLine="3640" w:firstLineChars="1300"/>
        <w:rPr>
          <w:sz w:val="28"/>
          <w:szCs w:val="28"/>
          <w:highlight w:val="none"/>
        </w:rPr>
      </w:pPr>
    </w:p>
    <w:p w14:paraId="56EF1489">
      <w:pPr>
        <w:tabs>
          <w:tab w:val="left" w:pos="4676"/>
        </w:tabs>
        <w:ind w:firstLine="3640" w:firstLineChars="1300"/>
        <w:rPr>
          <w:sz w:val="28"/>
          <w:szCs w:val="28"/>
          <w:highlight w:val="none"/>
        </w:rPr>
      </w:pPr>
    </w:p>
    <w:p w14:paraId="5693945F">
      <w:pPr>
        <w:tabs>
          <w:tab w:val="left" w:pos="4676"/>
        </w:tabs>
        <w:ind w:firstLine="3360" w:firstLineChars="1200"/>
        <w:jc w:val="both"/>
        <w:rPr>
          <w:rFonts w:hint="eastAsia" w:ascii="宋体" w:hAnsi="宋体"/>
          <w:sz w:val="24"/>
        </w:rPr>
      </w:pPr>
      <w:r>
        <w:rPr>
          <w:rFonts w:hint="eastAsia"/>
          <w:sz w:val="28"/>
          <w:szCs w:val="28"/>
          <w:highlight w:val="none"/>
          <w:lang w:val="en-US" w:eastAsia="zh-CN"/>
        </w:rPr>
        <w:t>2026</w:t>
      </w:r>
      <w:r>
        <w:rPr>
          <w:rFonts w:hint="eastAsia"/>
          <w:sz w:val="28"/>
          <w:szCs w:val="28"/>
          <w:highlight w:val="none"/>
        </w:rPr>
        <w:t>年</w:t>
      </w:r>
      <w:r>
        <w:rPr>
          <w:rFonts w:hint="eastAsia" w:ascii="宋体" w:hAnsi="宋体" w:eastAsia="宋体"/>
          <w:sz w:val="28"/>
          <w:szCs w:val="28"/>
          <w:lang w:val="en-US" w:eastAsia="zh-CN"/>
        </w:rPr>
        <w:t>XX</w:t>
      </w:r>
      <w:r>
        <w:rPr>
          <w:rFonts w:hint="eastAsia"/>
          <w:sz w:val="28"/>
          <w:szCs w:val="28"/>
          <w:highlight w:val="none"/>
        </w:rPr>
        <w:t>月</w:t>
      </w:r>
      <w:r>
        <w:rPr>
          <w:rFonts w:hint="eastAsia" w:ascii="宋体" w:hAnsi="宋体" w:eastAsia="宋体"/>
          <w:sz w:val="28"/>
          <w:szCs w:val="28"/>
          <w:lang w:val="en-US" w:eastAsia="zh-CN"/>
        </w:rPr>
        <w:t>XX</w:t>
      </w:r>
      <w:bookmarkStart w:id="0" w:name="_GoBack"/>
      <w:bookmarkEnd w:id="0"/>
      <w:r>
        <w:rPr>
          <w:rFonts w:hint="eastAsia"/>
          <w:sz w:val="28"/>
          <w:szCs w:val="28"/>
          <w:highlight w:val="none"/>
        </w:rPr>
        <w:t>日</w:t>
      </w:r>
    </w:p>
    <w:sectPr>
      <w:pgSz w:w="11906" w:h="16838"/>
      <w:pgMar w:top="1134" w:right="1797" w:bottom="56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1F81E">
    <w:pPr>
      <w:pStyle w:val="4"/>
      <w:jc w:val="center"/>
    </w:pPr>
    <w:r>
      <w:fldChar w:fldCharType="begin"/>
    </w:r>
    <w:r>
      <w:instrText xml:space="preserve"> PAGE   \* MERGEFORMAT </w:instrText>
    </w:r>
    <w:r>
      <w:fldChar w:fldCharType="separate"/>
    </w:r>
    <w:r>
      <w:rPr>
        <w:lang w:val="zh-CN"/>
      </w:rPr>
      <w:t>2</w:t>
    </w:r>
    <w:r>
      <w:rPr>
        <w:lang w:val="zh-CN"/>
      </w:rPr>
      <w:fldChar w:fldCharType="end"/>
    </w:r>
  </w:p>
  <w:p w14:paraId="0EF6F3D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NWNjZmMwOGZkY2FmNjMzMDM1ZTk0ODJlZGM0NzIifQ=="/>
  </w:docVars>
  <w:rsids>
    <w:rsidRoot w:val="00F312FE"/>
    <w:rsid w:val="000204FB"/>
    <w:rsid w:val="00025CFC"/>
    <w:rsid w:val="00027843"/>
    <w:rsid w:val="0003521E"/>
    <w:rsid w:val="000421E9"/>
    <w:rsid w:val="000555A5"/>
    <w:rsid w:val="00073830"/>
    <w:rsid w:val="000809AB"/>
    <w:rsid w:val="000809C3"/>
    <w:rsid w:val="00085FF8"/>
    <w:rsid w:val="000A0A6C"/>
    <w:rsid w:val="000A128F"/>
    <w:rsid w:val="000A29FD"/>
    <w:rsid w:val="000A3C43"/>
    <w:rsid w:val="000A7D08"/>
    <w:rsid w:val="000D1210"/>
    <w:rsid w:val="000D540A"/>
    <w:rsid w:val="000E153C"/>
    <w:rsid w:val="000F3D07"/>
    <w:rsid w:val="000F76F9"/>
    <w:rsid w:val="000F77F6"/>
    <w:rsid w:val="00101E5E"/>
    <w:rsid w:val="001103E0"/>
    <w:rsid w:val="00115C05"/>
    <w:rsid w:val="0012051A"/>
    <w:rsid w:val="001213DD"/>
    <w:rsid w:val="0012586A"/>
    <w:rsid w:val="00142D27"/>
    <w:rsid w:val="00143CF4"/>
    <w:rsid w:val="001454FD"/>
    <w:rsid w:val="00152E18"/>
    <w:rsid w:val="00180CB0"/>
    <w:rsid w:val="001829F4"/>
    <w:rsid w:val="00186BB6"/>
    <w:rsid w:val="00193554"/>
    <w:rsid w:val="001A27F5"/>
    <w:rsid w:val="001B4B04"/>
    <w:rsid w:val="001C4032"/>
    <w:rsid w:val="001C6D76"/>
    <w:rsid w:val="001D1C12"/>
    <w:rsid w:val="001D30EE"/>
    <w:rsid w:val="001D7909"/>
    <w:rsid w:val="001E5EEC"/>
    <w:rsid w:val="001E66AC"/>
    <w:rsid w:val="001E7903"/>
    <w:rsid w:val="001F110B"/>
    <w:rsid w:val="001F4AA5"/>
    <w:rsid w:val="002052A3"/>
    <w:rsid w:val="0021616B"/>
    <w:rsid w:val="0022317D"/>
    <w:rsid w:val="00227AB3"/>
    <w:rsid w:val="00241EB9"/>
    <w:rsid w:val="00245A71"/>
    <w:rsid w:val="0024766C"/>
    <w:rsid w:val="00253110"/>
    <w:rsid w:val="002716F5"/>
    <w:rsid w:val="00285C8B"/>
    <w:rsid w:val="002904AF"/>
    <w:rsid w:val="00294BFE"/>
    <w:rsid w:val="002B32F5"/>
    <w:rsid w:val="002B46B6"/>
    <w:rsid w:val="002C2C1D"/>
    <w:rsid w:val="002C35D4"/>
    <w:rsid w:val="002D26C1"/>
    <w:rsid w:val="002D2757"/>
    <w:rsid w:val="002E5482"/>
    <w:rsid w:val="002F1E71"/>
    <w:rsid w:val="002F3DB0"/>
    <w:rsid w:val="0030521F"/>
    <w:rsid w:val="00332E35"/>
    <w:rsid w:val="0034606B"/>
    <w:rsid w:val="003552A5"/>
    <w:rsid w:val="00376E7B"/>
    <w:rsid w:val="00384C74"/>
    <w:rsid w:val="00385DE9"/>
    <w:rsid w:val="003867D4"/>
    <w:rsid w:val="00387BEC"/>
    <w:rsid w:val="00391681"/>
    <w:rsid w:val="003A0AD7"/>
    <w:rsid w:val="003A7669"/>
    <w:rsid w:val="003B41D7"/>
    <w:rsid w:val="003C1C2A"/>
    <w:rsid w:val="003C71B3"/>
    <w:rsid w:val="003C74DC"/>
    <w:rsid w:val="003C77AC"/>
    <w:rsid w:val="003C77E2"/>
    <w:rsid w:val="003F3F2B"/>
    <w:rsid w:val="003F7F8F"/>
    <w:rsid w:val="004008A0"/>
    <w:rsid w:val="0040324D"/>
    <w:rsid w:val="004126BE"/>
    <w:rsid w:val="0043009F"/>
    <w:rsid w:val="00432E9B"/>
    <w:rsid w:val="00440507"/>
    <w:rsid w:val="00441539"/>
    <w:rsid w:val="00445652"/>
    <w:rsid w:val="00446417"/>
    <w:rsid w:val="004547EC"/>
    <w:rsid w:val="00456509"/>
    <w:rsid w:val="00461AEB"/>
    <w:rsid w:val="00462362"/>
    <w:rsid w:val="0047048B"/>
    <w:rsid w:val="004762E6"/>
    <w:rsid w:val="00481E21"/>
    <w:rsid w:val="00493707"/>
    <w:rsid w:val="0049665D"/>
    <w:rsid w:val="00496B79"/>
    <w:rsid w:val="004A194A"/>
    <w:rsid w:val="004A4C8B"/>
    <w:rsid w:val="004A5B64"/>
    <w:rsid w:val="004C0037"/>
    <w:rsid w:val="004F39BC"/>
    <w:rsid w:val="00500D47"/>
    <w:rsid w:val="00502552"/>
    <w:rsid w:val="00503FB9"/>
    <w:rsid w:val="00507A94"/>
    <w:rsid w:val="00510539"/>
    <w:rsid w:val="00516405"/>
    <w:rsid w:val="00517EC7"/>
    <w:rsid w:val="00530C37"/>
    <w:rsid w:val="00534337"/>
    <w:rsid w:val="005359FA"/>
    <w:rsid w:val="005438DF"/>
    <w:rsid w:val="005440EF"/>
    <w:rsid w:val="00556BF2"/>
    <w:rsid w:val="00560052"/>
    <w:rsid w:val="00564666"/>
    <w:rsid w:val="005650C2"/>
    <w:rsid w:val="00566243"/>
    <w:rsid w:val="00567823"/>
    <w:rsid w:val="00571376"/>
    <w:rsid w:val="005740AF"/>
    <w:rsid w:val="005761BE"/>
    <w:rsid w:val="00582247"/>
    <w:rsid w:val="00584F4A"/>
    <w:rsid w:val="005A799D"/>
    <w:rsid w:val="005B16C7"/>
    <w:rsid w:val="005B2ADD"/>
    <w:rsid w:val="005B523D"/>
    <w:rsid w:val="005C6448"/>
    <w:rsid w:val="005C749E"/>
    <w:rsid w:val="005C78D4"/>
    <w:rsid w:val="005E441C"/>
    <w:rsid w:val="005E664F"/>
    <w:rsid w:val="006010DC"/>
    <w:rsid w:val="00604B85"/>
    <w:rsid w:val="00624432"/>
    <w:rsid w:val="00632EAB"/>
    <w:rsid w:val="0063510D"/>
    <w:rsid w:val="00643037"/>
    <w:rsid w:val="0064682A"/>
    <w:rsid w:val="00656087"/>
    <w:rsid w:val="00662D7E"/>
    <w:rsid w:val="00672D54"/>
    <w:rsid w:val="0068470D"/>
    <w:rsid w:val="00687DE5"/>
    <w:rsid w:val="00693594"/>
    <w:rsid w:val="0069486C"/>
    <w:rsid w:val="0069545C"/>
    <w:rsid w:val="006A1D59"/>
    <w:rsid w:val="006A6ECA"/>
    <w:rsid w:val="006B15EB"/>
    <w:rsid w:val="006B1760"/>
    <w:rsid w:val="006B499C"/>
    <w:rsid w:val="006C4F7C"/>
    <w:rsid w:val="006C6E8B"/>
    <w:rsid w:val="006D3CE1"/>
    <w:rsid w:val="006D5986"/>
    <w:rsid w:val="006D77C5"/>
    <w:rsid w:val="006D7D1A"/>
    <w:rsid w:val="006E064B"/>
    <w:rsid w:val="00707919"/>
    <w:rsid w:val="007115A7"/>
    <w:rsid w:val="00725837"/>
    <w:rsid w:val="0073381E"/>
    <w:rsid w:val="00735F40"/>
    <w:rsid w:val="00742AE8"/>
    <w:rsid w:val="00752FF3"/>
    <w:rsid w:val="00753357"/>
    <w:rsid w:val="00762973"/>
    <w:rsid w:val="007641CC"/>
    <w:rsid w:val="00765B8D"/>
    <w:rsid w:val="00776DEA"/>
    <w:rsid w:val="00792036"/>
    <w:rsid w:val="007A0079"/>
    <w:rsid w:val="007A3187"/>
    <w:rsid w:val="007A4A98"/>
    <w:rsid w:val="007B7030"/>
    <w:rsid w:val="007B7BAC"/>
    <w:rsid w:val="007C2041"/>
    <w:rsid w:val="007D2ADC"/>
    <w:rsid w:val="007D480B"/>
    <w:rsid w:val="007D4BF2"/>
    <w:rsid w:val="007E2D23"/>
    <w:rsid w:val="007F72F9"/>
    <w:rsid w:val="00801E6F"/>
    <w:rsid w:val="00805BF8"/>
    <w:rsid w:val="00811DDC"/>
    <w:rsid w:val="00811E03"/>
    <w:rsid w:val="00813EFA"/>
    <w:rsid w:val="00841DF4"/>
    <w:rsid w:val="008425A0"/>
    <w:rsid w:val="008436D2"/>
    <w:rsid w:val="008447B2"/>
    <w:rsid w:val="008477A0"/>
    <w:rsid w:val="0085090E"/>
    <w:rsid w:val="0085662B"/>
    <w:rsid w:val="00861700"/>
    <w:rsid w:val="00866D4D"/>
    <w:rsid w:val="0087072A"/>
    <w:rsid w:val="008724BA"/>
    <w:rsid w:val="00872AE9"/>
    <w:rsid w:val="008743F0"/>
    <w:rsid w:val="00887CC4"/>
    <w:rsid w:val="00895FF9"/>
    <w:rsid w:val="008972B7"/>
    <w:rsid w:val="008A02C1"/>
    <w:rsid w:val="008A2B2A"/>
    <w:rsid w:val="008A55D6"/>
    <w:rsid w:val="008C229D"/>
    <w:rsid w:val="008C2F11"/>
    <w:rsid w:val="008C43D7"/>
    <w:rsid w:val="008D67D3"/>
    <w:rsid w:val="008F096C"/>
    <w:rsid w:val="009016DE"/>
    <w:rsid w:val="009019AD"/>
    <w:rsid w:val="0090387F"/>
    <w:rsid w:val="00907205"/>
    <w:rsid w:val="00915653"/>
    <w:rsid w:val="00924093"/>
    <w:rsid w:val="009548DB"/>
    <w:rsid w:val="00955D73"/>
    <w:rsid w:val="009571A6"/>
    <w:rsid w:val="00965913"/>
    <w:rsid w:val="00980E8E"/>
    <w:rsid w:val="00981253"/>
    <w:rsid w:val="00997D54"/>
    <w:rsid w:val="009A1577"/>
    <w:rsid w:val="009A270D"/>
    <w:rsid w:val="009A6334"/>
    <w:rsid w:val="009B77BE"/>
    <w:rsid w:val="009C0E31"/>
    <w:rsid w:val="009D1EEE"/>
    <w:rsid w:val="009E65FF"/>
    <w:rsid w:val="009F0179"/>
    <w:rsid w:val="009F1777"/>
    <w:rsid w:val="009F1F51"/>
    <w:rsid w:val="009F5C68"/>
    <w:rsid w:val="00A01F8F"/>
    <w:rsid w:val="00A02C0B"/>
    <w:rsid w:val="00A035F1"/>
    <w:rsid w:val="00A05F3E"/>
    <w:rsid w:val="00A073A6"/>
    <w:rsid w:val="00A152CA"/>
    <w:rsid w:val="00A16189"/>
    <w:rsid w:val="00A23073"/>
    <w:rsid w:val="00A25E18"/>
    <w:rsid w:val="00A312A8"/>
    <w:rsid w:val="00A326CB"/>
    <w:rsid w:val="00A434E1"/>
    <w:rsid w:val="00A44CC5"/>
    <w:rsid w:val="00A550C4"/>
    <w:rsid w:val="00A62D21"/>
    <w:rsid w:val="00A65D10"/>
    <w:rsid w:val="00A66FFD"/>
    <w:rsid w:val="00A77AB5"/>
    <w:rsid w:val="00A93B3A"/>
    <w:rsid w:val="00A941C1"/>
    <w:rsid w:val="00A9540C"/>
    <w:rsid w:val="00AA6983"/>
    <w:rsid w:val="00AB6B33"/>
    <w:rsid w:val="00AB6EB3"/>
    <w:rsid w:val="00AC2C8B"/>
    <w:rsid w:val="00AC5AC4"/>
    <w:rsid w:val="00AC5ED4"/>
    <w:rsid w:val="00AC6C91"/>
    <w:rsid w:val="00AD0A5E"/>
    <w:rsid w:val="00AD5D16"/>
    <w:rsid w:val="00AF0B92"/>
    <w:rsid w:val="00AF418C"/>
    <w:rsid w:val="00B06C9A"/>
    <w:rsid w:val="00B248E4"/>
    <w:rsid w:val="00B33669"/>
    <w:rsid w:val="00B36BA5"/>
    <w:rsid w:val="00B46B34"/>
    <w:rsid w:val="00B532A8"/>
    <w:rsid w:val="00B721BF"/>
    <w:rsid w:val="00B81541"/>
    <w:rsid w:val="00B818B6"/>
    <w:rsid w:val="00B82129"/>
    <w:rsid w:val="00B824A5"/>
    <w:rsid w:val="00B94FA7"/>
    <w:rsid w:val="00B97A91"/>
    <w:rsid w:val="00BA18B2"/>
    <w:rsid w:val="00BB1069"/>
    <w:rsid w:val="00BC421F"/>
    <w:rsid w:val="00BC4247"/>
    <w:rsid w:val="00BE420E"/>
    <w:rsid w:val="00BE689D"/>
    <w:rsid w:val="00BF1C52"/>
    <w:rsid w:val="00BF3654"/>
    <w:rsid w:val="00BF6C1D"/>
    <w:rsid w:val="00C0101A"/>
    <w:rsid w:val="00C02122"/>
    <w:rsid w:val="00C168BC"/>
    <w:rsid w:val="00C21221"/>
    <w:rsid w:val="00C31EEF"/>
    <w:rsid w:val="00C329DE"/>
    <w:rsid w:val="00C330BF"/>
    <w:rsid w:val="00C3450E"/>
    <w:rsid w:val="00C355D5"/>
    <w:rsid w:val="00C445EF"/>
    <w:rsid w:val="00C56081"/>
    <w:rsid w:val="00C61962"/>
    <w:rsid w:val="00C61CE7"/>
    <w:rsid w:val="00C621A1"/>
    <w:rsid w:val="00C71BDF"/>
    <w:rsid w:val="00C75F20"/>
    <w:rsid w:val="00C96494"/>
    <w:rsid w:val="00C96E7A"/>
    <w:rsid w:val="00CA3150"/>
    <w:rsid w:val="00CB1424"/>
    <w:rsid w:val="00CD0BE5"/>
    <w:rsid w:val="00CD33E5"/>
    <w:rsid w:val="00CE34C5"/>
    <w:rsid w:val="00CE5793"/>
    <w:rsid w:val="00CF414B"/>
    <w:rsid w:val="00CF61FF"/>
    <w:rsid w:val="00D01C29"/>
    <w:rsid w:val="00D15F5E"/>
    <w:rsid w:val="00D21305"/>
    <w:rsid w:val="00D21C08"/>
    <w:rsid w:val="00D26B37"/>
    <w:rsid w:val="00D27512"/>
    <w:rsid w:val="00D33AB3"/>
    <w:rsid w:val="00D366DE"/>
    <w:rsid w:val="00D518E1"/>
    <w:rsid w:val="00D53DF9"/>
    <w:rsid w:val="00D60F35"/>
    <w:rsid w:val="00D77CD8"/>
    <w:rsid w:val="00D821D7"/>
    <w:rsid w:val="00D91E52"/>
    <w:rsid w:val="00D9565F"/>
    <w:rsid w:val="00D970EC"/>
    <w:rsid w:val="00D97CF7"/>
    <w:rsid w:val="00DA224F"/>
    <w:rsid w:val="00DA3F4F"/>
    <w:rsid w:val="00DA6C2F"/>
    <w:rsid w:val="00DD2040"/>
    <w:rsid w:val="00DD6FC2"/>
    <w:rsid w:val="00DE0F1E"/>
    <w:rsid w:val="00DF2590"/>
    <w:rsid w:val="00DF581E"/>
    <w:rsid w:val="00E0101C"/>
    <w:rsid w:val="00E05D15"/>
    <w:rsid w:val="00E071F9"/>
    <w:rsid w:val="00E11CC5"/>
    <w:rsid w:val="00E11EB3"/>
    <w:rsid w:val="00E13603"/>
    <w:rsid w:val="00E154F1"/>
    <w:rsid w:val="00E15FAE"/>
    <w:rsid w:val="00E318AF"/>
    <w:rsid w:val="00E34DD9"/>
    <w:rsid w:val="00E42DEC"/>
    <w:rsid w:val="00E45D75"/>
    <w:rsid w:val="00E4660D"/>
    <w:rsid w:val="00E51600"/>
    <w:rsid w:val="00E519A9"/>
    <w:rsid w:val="00E5618D"/>
    <w:rsid w:val="00E56FEB"/>
    <w:rsid w:val="00E6047A"/>
    <w:rsid w:val="00E6088D"/>
    <w:rsid w:val="00E62853"/>
    <w:rsid w:val="00E63DB4"/>
    <w:rsid w:val="00E6575A"/>
    <w:rsid w:val="00E8275B"/>
    <w:rsid w:val="00E8711E"/>
    <w:rsid w:val="00E933AF"/>
    <w:rsid w:val="00E936F2"/>
    <w:rsid w:val="00E9561D"/>
    <w:rsid w:val="00E97902"/>
    <w:rsid w:val="00EA4F75"/>
    <w:rsid w:val="00EA56D2"/>
    <w:rsid w:val="00EB0295"/>
    <w:rsid w:val="00EC18BF"/>
    <w:rsid w:val="00EC550C"/>
    <w:rsid w:val="00EE1AE2"/>
    <w:rsid w:val="00EE442C"/>
    <w:rsid w:val="00F17AE3"/>
    <w:rsid w:val="00F312FE"/>
    <w:rsid w:val="00F3673D"/>
    <w:rsid w:val="00F379E8"/>
    <w:rsid w:val="00F45632"/>
    <w:rsid w:val="00F46516"/>
    <w:rsid w:val="00F57BB4"/>
    <w:rsid w:val="00F75A0F"/>
    <w:rsid w:val="00F85424"/>
    <w:rsid w:val="00F87957"/>
    <w:rsid w:val="00F93B96"/>
    <w:rsid w:val="00FA1CED"/>
    <w:rsid w:val="00FA6F34"/>
    <w:rsid w:val="00FA7528"/>
    <w:rsid w:val="00FB0C00"/>
    <w:rsid w:val="00FB42A4"/>
    <w:rsid w:val="00FB6152"/>
    <w:rsid w:val="00FB6C2E"/>
    <w:rsid w:val="00FD661A"/>
    <w:rsid w:val="00FE2048"/>
    <w:rsid w:val="00FE6BF1"/>
    <w:rsid w:val="00FE7641"/>
    <w:rsid w:val="00FF76FB"/>
    <w:rsid w:val="01235E12"/>
    <w:rsid w:val="01C70D72"/>
    <w:rsid w:val="08F16230"/>
    <w:rsid w:val="09287923"/>
    <w:rsid w:val="09AA30AB"/>
    <w:rsid w:val="0ABB6AF5"/>
    <w:rsid w:val="0ED542E3"/>
    <w:rsid w:val="0FF04DAF"/>
    <w:rsid w:val="10600B4C"/>
    <w:rsid w:val="134B44A5"/>
    <w:rsid w:val="14EE14FB"/>
    <w:rsid w:val="179F5E0D"/>
    <w:rsid w:val="1B8145E4"/>
    <w:rsid w:val="1DFE5E90"/>
    <w:rsid w:val="204F406D"/>
    <w:rsid w:val="20E454D6"/>
    <w:rsid w:val="22CF718A"/>
    <w:rsid w:val="233932BA"/>
    <w:rsid w:val="2B560404"/>
    <w:rsid w:val="2BE70D21"/>
    <w:rsid w:val="2CEC0444"/>
    <w:rsid w:val="2D0E623A"/>
    <w:rsid w:val="2D562E4B"/>
    <w:rsid w:val="32426E05"/>
    <w:rsid w:val="33457AFA"/>
    <w:rsid w:val="363D3C7C"/>
    <w:rsid w:val="373E2F7E"/>
    <w:rsid w:val="39987E7E"/>
    <w:rsid w:val="3BBA2F5D"/>
    <w:rsid w:val="3C640829"/>
    <w:rsid w:val="3F8F7A8D"/>
    <w:rsid w:val="49F92237"/>
    <w:rsid w:val="4B30525C"/>
    <w:rsid w:val="4B3264D7"/>
    <w:rsid w:val="53877A85"/>
    <w:rsid w:val="591470C9"/>
    <w:rsid w:val="5ACE5056"/>
    <w:rsid w:val="5B7966A0"/>
    <w:rsid w:val="5C875421"/>
    <w:rsid w:val="5E9F093C"/>
    <w:rsid w:val="62D84861"/>
    <w:rsid w:val="661D2E56"/>
    <w:rsid w:val="70065697"/>
    <w:rsid w:val="71A6714E"/>
    <w:rsid w:val="726546B7"/>
    <w:rsid w:val="73F3387A"/>
    <w:rsid w:val="75F864F2"/>
    <w:rsid w:val="775504D1"/>
    <w:rsid w:val="78625326"/>
    <w:rsid w:val="7A452A93"/>
    <w:rsid w:val="7DF07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3">
    <w:name w:val="Balloon Text"/>
    <w:basedOn w:val="1"/>
    <w:autoRedefine/>
    <w:semiHidden/>
    <w:qFormat/>
    <w:uiPriority w:val="0"/>
    <w:rPr>
      <w:sz w:val="18"/>
      <w:szCs w:val="18"/>
    </w:rPr>
  </w:style>
  <w:style w:type="paragraph" w:styleId="4">
    <w:name w:val="footer"/>
    <w:basedOn w:val="1"/>
    <w:link w:val="9"/>
    <w:autoRedefine/>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index 1"/>
    <w:basedOn w:val="1"/>
    <w:next w:val="1"/>
    <w:autoRedefine/>
    <w:semiHidden/>
    <w:qFormat/>
    <w:uiPriority w:val="0"/>
  </w:style>
  <w:style w:type="character" w:customStyle="1" w:styleId="9">
    <w:name w:val="页脚 字符"/>
    <w:link w:val="4"/>
    <w:autoRedefine/>
    <w:qFormat/>
    <w:uiPriority w:val="99"/>
    <w:rPr>
      <w:kern w:val="2"/>
      <w:sz w:val="18"/>
      <w:szCs w:val="18"/>
    </w:rPr>
  </w:style>
  <w:style w:type="character" w:customStyle="1" w:styleId="10">
    <w:name w:val="页眉 字符"/>
    <w:link w:val="5"/>
    <w:autoRedefine/>
    <w:qFormat/>
    <w:uiPriority w:val="0"/>
    <w:rPr>
      <w:kern w:val="2"/>
      <w:sz w:val="18"/>
      <w:szCs w:val="18"/>
    </w:rPr>
  </w:style>
  <w:style w:type="character" w:customStyle="1" w:styleId="11">
    <w:name w:val="ng-binding"/>
    <w:basedOn w:val="8"/>
    <w:autoRedefine/>
    <w:qFormat/>
    <w:uiPriority w:val="0"/>
  </w:style>
  <w:style w:type="character" w:customStyle="1" w:styleId="12">
    <w:name w:val="top40"/>
    <w:basedOn w:val="8"/>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GDGC</Company>
  <Pages>3</Pages>
  <Words>1165</Words>
  <Characters>1199</Characters>
  <Lines>12</Lines>
  <Paragraphs>3</Paragraphs>
  <TotalTime>0</TotalTime>
  <ScaleCrop>false</ScaleCrop>
  <LinksUpToDate>false</LinksUpToDate>
  <CharactersWithSpaces>1225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2023-04-03T11:42:00Z</dcterms:created>
  <dc:creator>fish</dc:creator>
  <cp:lastModifiedBy>晨怡</cp:lastModifiedBy>
  <cp:lastPrinted>2025-08-19T10:11:00Z</cp:lastPrinted>
  <dcterms:modified xsi:type="dcterms:W3CDTF">2026-04-08T11:13:48Z</dcterms:modified>
  <dc:title>广州市粮食竞价交易合同</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FB9D653E88544684B92F1D8B51072DA8_13</vt:lpwstr>
  </property>
  <property fmtid="{D5CDD505-2E9C-101B-9397-08002B2CF9AE}" pid="4" name="KSOTemplateDocerSaveRecord">
    <vt:lpwstr>eyJoZGlkIjoiZDQzNWNjZmMwOGZkY2FmNjMzMDM1ZTk0ODJlZGM0NzIiLCJ1c2VySWQiOiI3NjE2NDY1NDUifQ==</vt:lpwstr>
  </property>
</Properties>
</file>